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77" w:rsidRDefault="00073A77">
      <w:pPr>
        <w:pStyle w:val="Style1"/>
        <w:kinsoku w:val="0"/>
        <w:autoSpaceDE/>
        <w:autoSpaceDN/>
        <w:adjustRightInd/>
        <w:spacing w:before="900" w:line="206" w:lineRule="auto"/>
        <w:jc w:val="center"/>
        <w:rPr>
          <w:rFonts w:ascii="Verdana" w:hAnsi="Verdana" w:cs="Verdana"/>
          <w:b/>
          <w:bCs/>
          <w:spacing w:val="6"/>
          <w:sz w:val="23"/>
          <w:szCs w:val="23"/>
          <w:lang w:val="es-ES" w:eastAsia="es-ES"/>
        </w:rPr>
      </w:pPr>
      <w:r>
        <w:rPr>
          <w:rFonts w:ascii="Verdana" w:hAnsi="Verdana" w:cs="Verdana"/>
          <w:b/>
          <w:bCs/>
          <w:spacing w:val="6"/>
          <w:sz w:val="23"/>
          <w:szCs w:val="23"/>
          <w:lang w:val="es-ES" w:eastAsia="es-ES"/>
        </w:rPr>
        <w:t>RESOLUCION N. TAT- 2188-2013</w:t>
      </w:r>
    </w:p>
    <w:p w:rsidR="00073A77" w:rsidRDefault="00073A77" w:rsidP="00C55558">
      <w:pPr>
        <w:pStyle w:val="Style1"/>
        <w:kinsoku w:val="0"/>
        <w:autoSpaceDE/>
        <w:autoSpaceDN/>
        <w:adjustRightInd/>
        <w:spacing w:before="612"/>
        <w:ind w:left="72" w:right="72"/>
        <w:jc w:val="both"/>
        <w:rPr>
          <w:rFonts w:ascii="Verdana" w:hAnsi="Verdana" w:cs="Verdana"/>
          <w:spacing w:val="1"/>
          <w:lang w:val="es-ES" w:eastAsia="es-ES"/>
        </w:rPr>
      </w:pPr>
      <w:r>
        <w:rPr>
          <w:rFonts w:ascii="Verdana" w:hAnsi="Verdana" w:cs="Verdana"/>
          <w:b/>
          <w:bCs/>
          <w:spacing w:val="11"/>
          <w:sz w:val="23"/>
          <w:szCs w:val="23"/>
          <w:lang w:val="es-ES" w:eastAsia="es-ES"/>
        </w:rPr>
        <w:t xml:space="preserve">TRIBUNAL ADMINISTRATIVO DE TRANSPORTE. </w:t>
      </w:r>
      <w:r>
        <w:rPr>
          <w:rFonts w:ascii="Verdana" w:hAnsi="Verdana" w:cs="Verdana"/>
          <w:spacing w:val="11"/>
          <w:lang w:val="es-ES" w:eastAsia="es-ES"/>
        </w:rPr>
        <w:t xml:space="preserve">San José, a las </w:t>
      </w:r>
      <w:r>
        <w:rPr>
          <w:rFonts w:ascii="Verdana" w:hAnsi="Verdana" w:cs="Verdana"/>
          <w:spacing w:val="1"/>
          <w:lang w:val="es-ES" w:eastAsia="es-ES"/>
        </w:rPr>
        <w:t>diez horas treinta minutos de veintisiete de agosto de dos mil trece.</w:t>
      </w:r>
    </w:p>
    <w:p w:rsidR="00073A77" w:rsidRDefault="00073A77">
      <w:pPr>
        <w:pStyle w:val="Style1"/>
        <w:kinsoku w:val="0"/>
        <w:autoSpaceDE/>
        <w:autoSpaceDN/>
        <w:adjustRightInd/>
        <w:spacing w:before="288"/>
        <w:ind w:left="72" w:right="72"/>
        <w:jc w:val="both"/>
        <w:rPr>
          <w:rFonts w:ascii="Verdana" w:hAnsi="Verdana" w:cs="Verdana"/>
          <w:b/>
          <w:bCs/>
          <w:spacing w:val="4"/>
          <w:sz w:val="23"/>
          <w:szCs w:val="23"/>
          <w:lang w:val="es-ES" w:eastAsia="es-ES"/>
        </w:rPr>
      </w:pPr>
      <w:r>
        <w:rPr>
          <w:rFonts w:ascii="Verdana" w:hAnsi="Verdana" w:cs="Verdana"/>
          <w:b/>
          <w:bCs/>
          <w:spacing w:val="14"/>
          <w:sz w:val="23"/>
          <w:szCs w:val="23"/>
          <w:lang w:val="es-ES" w:eastAsia="es-ES"/>
        </w:rPr>
        <w:t xml:space="preserve">Solicitud Aclaración y/o Adición </w:t>
      </w:r>
      <w:r>
        <w:rPr>
          <w:rFonts w:ascii="Verdana" w:hAnsi="Verdana" w:cs="Verdana"/>
          <w:spacing w:val="14"/>
          <w:lang w:val="es-ES" w:eastAsia="es-ES"/>
        </w:rPr>
        <w:t xml:space="preserve">de la Resolución del Tribunal </w:t>
      </w:r>
      <w:r>
        <w:rPr>
          <w:rFonts w:ascii="Verdana" w:hAnsi="Verdana" w:cs="Verdana"/>
          <w:spacing w:val="3"/>
          <w:lang w:val="es-ES" w:eastAsia="es-ES"/>
        </w:rPr>
        <w:t xml:space="preserve">Administrativo de Transporte </w:t>
      </w:r>
      <w:r>
        <w:rPr>
          <w:rFonts w:ascii="Verdana" w:hAnsi="Verdana" w:cs="Verdana"/>
          <w:b/>
          <w:bCs/>
          <w:spacing w:val="3"/>
          <w:sz w:val="23"/>
          <w:szCs w:val="23"/>
          <w:lang w:val="es-ES" w:eastAsia="es-ES"/>
        </w:rPr>
        <w:t xml:space="preserve">N. TAT-2168-2013 </w:t>
      </w:r>
      <w:r>
        <w:rPr>
          <w:rFonts w:ascii="Verdana" w:hAnsi="Verdana" w:cs="Verdana"/>
          <w:spacing w:val="3"/>
          <w:lang w:val="es-ES" w:eastAsia="es-ES"/>
        </w:rPr>
        <w:t xml:space="preserve">de las quince horas </w:t>
      </w:r>
      <w:r>
        <w:rPr>
          <w:rFonts w:ascii="Verdana" w:hAnsi="Verdana" w:cs="Verdana"/>
          <w:spacing w:val="1"/>
          <w:lang w:val="es-ES" w:eastAsia="es-ES"/>
        </w:rPr>
        <w:t xml:space="preserve">cinco minutos del veintitrés de julio de 2013, </w:t>
      </w:r>
      <w:r>
        <w:rPr>
          <w:rFonts w:ascii="Verdana" w:hAnsi="Verdana" w:cs="Verdana"/>
          <w:b/>
          <w:bCs/>
          <w:spacing w:val="1"/>
          <w:sz w:val="23"/>
          <w:szCs w:val="23"/>
          <w:lang w:val="es-ES" w:eastAsia="es-ES"/>
        </w:rPr>
        <w:t xml:space="preserve">presentado por EL LIC. </w:t>
      </w:r>
      <w:r>
        <w:rPr>
          <w:rFonts w:ascii="Verdana" w:hAnsi="Verdana" w:cs="Verdana"/>
          <w:b/>
          <w:bCs/>
          <w:spacing w:val="6"/>
          <w:sz w:val="23"/>
          <w:szCs w:val="23"/>
          <w:lang w:val="es-ES" w:eastAsia="es-ES"/>
        </w:rPr>
        <w:t>M</w:t>
      </w:r>
      <w:r w:rsidR="005D5696">
        <w:rPr>
          <w:rFonts w:ascii="Verdana" w:hAnsi="Verdana" w:cs="Verdana"/>
          <w:b/>
          <w:bCs/>
          <w:spacing w:val="6"/>
          <w:sz w:val="23"/>
          <w:szCs w:val="23"/>
          <w:lang w:val="es-ES" w:eastAsia="es-ES"/>
        </w:rPr>
        <w:t>.</w:t>
      </w:r>
      <w:r>
        <w:rPr>
          <w:rFonts w:ascii="Verdana" w:hAnsi="Verdana" w:cs="Verdana"/>
          <w:b/>
          <w:bCs/>
          <w:spacing w:val="6"/>
          <w:sz w:val="23"/>
          <w:szCs w:val="23"/>
          <w:lang w:val="es-ES" w:eastAsia="es-ES"/>
        </w:rPr>
        <w:t>F</w:t>
      </w:r>
      <w:r w:rsidR="005D5696">
        <w:rPr>
          <w:rFonts w:ascii="Verdana" w:hAnsi="Verdana" w:cs="Verdana"/>
          <w:b/>
          <w:bCs/>
          <w:spacing w:val="6"/>
          <w:sz w:val="23"/>
          <w:szCs w:val="23"/>
          <w:lang w:val="es-ES" w:eastAsia="es-ES"/>
        </w:rPr>
        <w:t>.</w:t>
      </w:r>
      <w:r>
        <w:rPr>
          <w:rFonts w:ascii="Verdana" w:hAnsi="Verdana" w:cs="Verdana"/>
          <w:b/>
          <w:bCs/>
          <w:spacing w:val="6"/>
          <w:sz w:val="23"/>
          <w:szCs w:val="23"/>
          <w:lang w:val="es-ES" w:eastAsia="es-ES"/>
        </w:rPr>
        <w:t>B</w:t>
      </w:r>
      <w:r w:rsidR="005D5696">
        <w:rPr>
          <w:rFonts w:ascii="Verdana" w:hAnsi="Verdana" w:cs="Verdana"/>
          <w:b/>
          <w:bCs/>
          <w:spacing w:val="6"/>
          <w:sz w:val="23"/>
          <w:szCs w:val="23"/>
          <w:lang w:val="es-ES" w:eastAsia="es-ES"/>
        </w:rPr>
        <w:t>.</w:t>
      </w:r>
      <w:r>
        <w:rPr>
          <w:rFonts w:ascii="Verdana" w:hAnsi="Verdana" w:cs="Verdana"/>
          <w:b/>
          <w:bCs/>
          <w:spacing w:val="6"/>
          <w:sz w:val="23"/>
          <w:szCs w:val="23"/>
          <w:lang w:val="es-ES" w:eastAsia="es-ES"/>
        </w:rPr>
        <w:t>A</w:t>
      </w:r>
      <w:r w:rsidR="005D5696">
        <w:rPr>
          <w:rFonts w:ascii="Verdana" w:hAnsi="Verdana" w:cs="Verdana"/>
          <w:b/>
          <w:bCs/>
          <w:spacing w:val="6"/>
          <w:sz w:val="23"/>
          <w:szCs w:val="23"/>
          <w:lang w:val="es-ES" w:eastAsia="es-ES"/>
        </w:rPr>
        <w:t>.</w:t>
      </w:r>
      <w:r>
        <w:rPr>
          <w:rFonts w:ascii="Verdana" w:hAnsi="Verdana" w:cs="Verdana"/>
          <w:b/>
          <w:bCs/>
          <w:spacing w:val="6"/>
          <w:sz w:val="23"/>
          <w:szCs w:val="23"/>
          <w:lang w:val="es-ES" w:eastAsia="es-ES"/>
        </w:rPr>
        <w:t xml:space="preserve">, en SU condición de Director Ejecutivo del Consejo de Transporte Público. </w:t>
      </w:r>
      <w:r>
        <w:rPr>
          <w:rFonts w:ascii="Verdana" w:hAnsi="Verdana" w:cs="Verdana"/>
          <w:spacing w:val="6"/>
          <w:lang w:val="es-ES" w:eastAsia="es-ES"/>
        </w:rPr>
        <w:t xml:space="preserve">El caso es tramitado </w:t>
      </w:r>
      <w:r>
        <w:rPr>
          <w:rFonts w:ascii="Verdana" w:hAnsi="Verdana" w:cs="Verdana"/>
          <w:spacing w:val="4"/>
          <w:lang w:val="es-ES" w:eastAsia="es-ES"/>
        </w:rPr>
        <w:t xml:space="preserve">en este despacho bajo </w:t>
      </w:r>
      <w:r>
        <w:rPr>
          <w:rFonts w:ascii="Verdana" w:hAnsi="Verdana" w:cs="Verdana"/>
          <w:b/>
          <w:bCs/>
          <w:spacing w:val="4"/>
          <w:sz w:val="23"/>
          <w:szCs w:val="23"/>
          <w:lang w:val="es-ES" w:eastAsia="es-ES"/>
        </w:rPr>
        <w:t>expediente administrativo N. TAT-060-13.</w:t>
      </w:r>
    </w:p>
    <w:p w:rsidR="00073A77" w:rsidRDefault="00073A77">
      <w:pPr>
        <w:pStyle w:val="Style1"/>
        <w:kinsoku w:val="0"/>
        <w:autoSpaceDE/>
        <w:autoSpaceDN/>
        <w:adjustRightInd/>
        <w:spacing w:before="684" w:line="204" w:lineRule="auto"/>
        <w:jc w:val="center"/>
        <w:rPr>
          <w:rFonts w:ascii="Verdana" w:hAnsi="Verdana" w:cs="Verdana"/>
          <w:b/>
          <w:bCs/>
          <w:sz w:val="23"/>
          <w:szCs w:val="23"/>
          <w:lang w:val="es-ES" w:eastAsia="es-ES"/>
        </w:rPr>
      </w:pPr>
      <w:r>
        <w:rPr>
          <w:rFonts w:ascii="Verdana" w:hAnsi="Verdana" w:cs="Verdana"/>
          <w:b/>
          <w:bCs/>
          <w:sz w:val="23"/>
          <w:szCs w:val="23"/>
          <w:lang w:val="es-ES" w:eastAsia="es-ES"/>
        </w:rPr>
        <w:t>RESULTANDO</w:t>
      </w:r>
    </w:p>
    <w:p w:rsidR="00073A77" w:rsidRDefault="00073A77">
      <w:pPr>
        <w:pStyle w:val="Style1"/>
        <w:kinsoku w:val="0"/>
        <w:autoSpaceDE/>
        <w:autoSpaceDN/>
        <w:adjustRightInd/>
        <w:spacing w:before="612"/>
        <w:ind w:left="72" w:right="72"/>
        <w:jc w:val="both"/>
        <w:rPr>
          <w:rFonts w:ascii="Verdana" w:hAnsi="Verdana" w:cs="Verdana"/>
          <w:lang w:val="es-ES" w:eastAsia="es-ES"/>
        </w:rPr>
      </w:pPr>
      <w:r>
        <w:rPr>
          <w:rFonts w:ascii="Verdana" w:hAnsi="Verdana" w:cs="Verdana"/>
          <w:b/>
          <w:bCs/>
          <w:spacing w:val="11"/>
          <w:sz w:val="23"/>
          <w:szCs w:val="23"/>
          <w:lang w:val="es-ES" w:eastAsia="es-ES"/>
        </w:rPr>
        <w:t xml:space="preserve">PRIMERO: </w:t>
      </w:r>
      <w:r>
        <w:rPr>
          <w:rFonts w:ascii="Verdana" w:hAnsi="Verdana" w:cs="Verdana"/>
          <w:spacing w:val="11"/>
          <w:lang w:val="es-ES" w:eastAsia="es-ES"/>
        </w:rPr>
        <w:t xml:space="preserve">Con fecha 20 de agosto de 2013, el Licenciado </w:t>
      </w:r>
      <w:r>
        <w:rPr>
          <w:rFonts w:ascii="Verdana" w:hAnsi="Verdana" w:cs="Verdana"/>
          <w:b/>
          <w:bCs/>
          <w:spacing w:val="11"/>
          <w:sz w:val="20"/>
          <w:szCs w:val="20"/>
          <w:lang w:val="es-ES" w:eastAsia="es-ES"/>
        </w:rPr>
        <w:t>M</w:t>
      </w:r>
      <w:r w:rsidR="005D5696">
        <w:rPr>
          <w:rFonts w:ascii="Verdana" w:hAnsi="Verdana" w:cs="Verdana"/>
          <w:b/>
          <w:bCs/>
          <w:spacing w:val="11"/>
          <w:sz w:val="20"/>
          <w:szCs w:val="20"/>
          <w:lang w:val="es-ES" w:eastAsia="es-ES"/>
        </w:rPr>
        <w:t>.</w:t>
      </w:r>
      <w:r>
        <w:rPr>
          <w:rFonts w:ascii="Verdana" w:hAnsi="Verdana" w:cs="Verdana"/>
          <w:b/>
          <w:bCs/>
          <w:spacing w:val="6"/>
          <w:sz w:val="20"/>
          <w:szCs w:val="20"/>
          <w:lang w:val="es-ES" w:eastAsia="es-ES"/>
        </w:rPr>
        <w:t>F</w:t>
      </w:r>
      <w:r w:rsidR="005D5696">
        <w:rPr>
          <w:rFonts w:ascii="Verdana" w:hAnsi="Verdana" w:cs="Verdana"/>
          <w:b/>
          <w:bCs/>
          <w:spacing w:val="6"/>
          <w:sz w:val="20"/>
          <w:szCs w:val="20"/>
          <w:lang w:val="es-ES" w:eastAsia="es-ES"/>
        </w:rPr>
        <w:t>.</w:t>
      </w:r>
      <w:r>
        <w:rPr>
          <w:rFonts w:ascii="Verdana" w:hAnsi="Verdana" w:cs="Verdana"/>
          <w:b/>
          <w:bCs/>
          <w:spacing w:val="6"/>
          <w:sz w:val="20"/>
          <w:szCs w:val="20"/>
          <w:lang w:val="es-ES" w:eastAsia="es-ES"/>
        </w:rPr>
        <w:t>B</w:t>
      </w:r>
      <w:r w:rsidR="005D5696">
        <w:rPr>
          <w:rFonts w:ascii="Verdana" w:hAnsi="Verdana" w:cs="Verdana"/>
          <w:b/>
          <w:bCs/>
          <w:spacing w:val="6"/>
          <w:sz w:val="20"/>
          <w:szCs w:val="20"/>
          <w:lang w:val="es-ES" w:eastAsia="es-ES"/>
        </w:rPr>
        <w:t>.</w:t>
      </w:r>
      <w:r>
        <w:rPr>
          <w:rFonts w:ascii="Verdana" w:hAnsi="Verdana" w:cs="Verdana"/>
          <w:b/>
          <w:bCs/>
          <w:spacing w:val="6"/>
          <w:sz w:val="20"/>
          <w:szCs w:val="20"/>
          <w:lang w:val="es-ES" w:eastAsia="es-ES"/>
        </w:rPr>
        <w:t>A</w:t>
      </w:r>
      <w:r w:rsidR="005D5696">
        <w:rPr>
          <w:rFonts w:ascii="Verdana" w:hAnsi="Verdana" w:cs="Verdana"/>
          <w:b/>
          <w:bCs/>
          <w:spacing w:val="6"/>
          <w:sz w:val="20"/>
          <w:szCs w:val="20"/>
          <w:lang w:val="es-ES" w:eastAsia="es-ES"/>
        </w:rPr>
        <w:t>.</w:t>
      </w:r>
      <w:r>
        <w:rPr>
          <w:rFonts w:ascii="Verdana" w:hAnsi="Verdana" w:cs="Verdana"/>
          <w:b/>
          <w:bCs/>
          <w:spacing w:val="6"/>
          <w:sz w:val="20"/>
          <w:szCs w:val="20"/>
          <w:lang w:val="es-ES" w:eastAsia="es-ES"/>
        </w:rPr>
        <w:t xml:space="preserve">, </w:t>
      </w:r>
      <w:r>
        <w:rPr>
          <w:rFonts w:ascii="Verdana" w:hAnsi="Verdana" w:cs="Verdana"/>
          <w:spacing w:val="6"/>
          <w:lang w:val="es-ES" w:eastAsia="es-ES"/>
        </w:rPr>
        <w:t xml:space="preserve">en su condición de Director Ejecutivo del Consejo de Transporte Público, presenta solicitud de Aclaración y/o </w:t>
      </w:r>
      <w:r>
        <w:rPr>
          <w:rFonts w:ascii="Verdana" w:hAnsi="Verdana" w:cs="Verdana"/>
          <w:spacing w:val="3"/>
          <w:lang w:val="es-ES" w:eastAsia="es-ES"/>
        </w:rPr>
        <w:t xml:space="preserve">Adición de la Resolución del Tribunal Administrativo de Transporte </w:t>
      </w:r>
      <w:r>
        <w:rPr>
          <w:rFonts w:ascii="Verdana" w:hAnsi="Verdana" w:cs="Verdana"/>
          <w:b/>
          <w:bCs/>
          <w:spacing w:val="3"/>
          <w:sz w:val="23"/>
          <w:szCs w:val="23"/>
          <w:lang w:val="es-ES" w:eastAsia="es-ES"/>
        </w:rPr>
        <w:t xml:space="preserve">N. </w:t>
      </w:r>
      <w:r>
        <w:rPr>
          <w:rFonts w:ascii="Verdana" w:hAnsi="Verdana" w:cs="Verdana"/>
          <w:b/>
          <w:bCs/>
          <w:spacing w:val="6"/>
          <w:sz w:val="23"/>
          <w:szCs w:val="23"/>
          <w:lang w:val="es-ES" w:eastAsia="es-ES"/>
        </w:rPr>
        <w:t xml:space="preserve">TAT-2168-2013 </w:t>
      </w:r>
      <w:r>
        <w:rPr>
          <w:rFonts w:ascii="Verdana" w:hAnsi="Verdana" w:cs="Verdana"/>
          <w:spacing w:val="6"/>
          <w:lang w:val="es-ES" w:eastAsia="es-ES"/>
        </w:rPr>
        <w:t xml:space="preserve">de las quince horas cinco minutos del veintitrés de </w:t>
      </w:r>
      <w:r>
        <w:rPr>
          <w:rFonts w:ascii="Verdana" w:hAnsi="Verdana" w:cs="Verdana"/>
          <w:spacing w:val="1"/>
          <w:lang w:val="es-ES" w:eastAsia="es-ES"/>
        </w:rPr>
        <w:t xml:space="preserve">julio de 2013 misma que fue notificada al Consejo de Transporte Público </w:t>
      </w:r>
      <w:r>
        <w:rPr>
          <w:rFonts w:ascii="Verdana" w:hAnsi="Verdana" w:cs="Verdana"/>
          <w:lang w:val="es-ES" w:eastAsia="es-ES"/>
        </w:rPr>
        <w:t>el 12 de agosto de los corrientes.</w:t>
      </w:r>
    </w:p>
    <w:p w:rsidR="00073A77" w:rsidRDefault="00073A77">
      <w:pPr>
        <w:pStyle w:val="Style1"/>
        <w:kinsoku w:val="0"/>
        <w:autoSpaceDE/>
        <w:autoSpaceDN/>
        <w:adjustRightInd/>
        <w:spacing w:before="540" w:after="648"/>
        <w:ind w:left="72" w:right="72"/>
        <w:jc w:val="both"/>
        <w:rPr>
          <w:rFonts w:ascii="Verdana" w:hAnsi="Verdana" w:cs="Verdana"/>
          <w:lang w:val="es-ES" w:eastAsia="es-ES"/>
        </w:rPr>
      </w:pPr>
      <w:r>
        <w:rPr>
          <w:rFonts w:ascii="Verdana" w:hAnsi="Verdana" w:cs="Verdana"/>
          <w:b/>
          <w:bCs/>
          <w:spacing w:val="4"/>
          <w:sz w:val="23"/>
          <w:szCs w:val="23"/>
          <w:lang w:val="es-ES" w:eastAsia="es-ES"/>
        </w:rPr>
        <w:t xml:space="preserve">SEGUNDO: </w:t>
      </w:r>
      <w:r>
        <w:rPr>
          <w:rFonts w:ascii="Verdana" w:hAnsi="Verdana" w:cs="Verdana"/>
          <w:spacing w:val="4"/>
          <w:lang w:val="es-ES" w:eastAsia="es-ES"/>
        </w:rPr>
        <w:t xml:space="preserve">La Resolución que se pretende sea aclarada, resolvió con </w:t>
      </w:r>
      <w:r>
        <w:rPr>
          <w:rFonts w:ascii="Verdana" w:hAnsi="Verdana" w:cs="Verdana"/>
          <w:spacing w:val="22"/>
          <w:lang w:val="es-ES" w:eastAsia="es-ES"/>
        </w:rPr>
        <w:t xml:space="preserve">lugar el Recurso de Apelación en Subsidio, Nulidad Absoluta </w:t>
      </w:r>
      <w:r>
        <w:rPr>
          <w:rFonts w:ascii="Verdana" w:hAnsi="Verdana" w:cs="Verdana"/>
          <w:spacing w:val="11"/>
          <w:lang w:val="es-ES" w:eastAsia="es-ES"/>
        </w:rPr>
        <w:t xml:space="preserve">concomitante, interpuesto por la empresa </w:t>
      </w:r>
      <w:r>
        <w:rPr>
          <w:rFonts w:ascii="Verdana" w:hAnsi="Verdana" w:cs="Verdana"/>
          <w:b/>
          <w:bCs/>
          <w:spacing w:val="11"/>
          <w:sz w:val="23"/>
          <w:szCs w:val="23"/>
          <w:lang w:val="es-ES" w:eastAsia="es-ES"/>
        </w:rPr>
        <w:t>S</w:t>
      </w:r>
      <w:r w:rsidR="005D5696">
        <w:rPr>
          <w:rFonts w:ascii="Verdana" w:hAnsi="Verdana" w:cs="Verdana"/>
          <w:b/>
          <w:bCs/>
          <w:spacing w:val="11"/>
          <w:sz w:val="23"/>
          <w:szCs w:val="23"/>
          <w:lang w:val="es-ES" w:eastAsia="es-ES"/>
        </w:rPr>
        <w:t>.</w:t>
      </w:r>
      <w:r>
        <w:rPr>
          <w:rFonts w:ascii="Verdana" w:hAnsi="Verdana" w:cs="Verdana"/>
          <w:b/>
          <w:bCs/>
          <w:spacing w:val="11"/>
          <w:sz w:val="23"/>
          <w:szCs w:val="23"/>
          <w:lang w:val="es-ES" w:eastAsia="es-ES"/>
        </w:rPr>
        <w:t>P</w:t>
      </w:r>
      <w:r w:rsidR="005D5696">
        <w:rPr>
          <w:rFonts w:ascii="Verdana" w:hAnsi="Verdana" w:cs="Verdana"/>
          <w:b/>
          <w:bCs/>
          <w:spacing w:val="11"/>
          <w:sz w:val="23"/>
          <w:szCs w:val="23"/>
          <w:lang w:val="es-ES" w:eastAsia="es-ES"/>
        </w:rPr>
        <w:t>.</w:t>
      </w:r>
      <w:r w:rsidR="00C55558">
        <w:rPr>
          <w:rFonts w:ascii="Verdana" w:hAnsi="Verdana" w:cs="Verdana"/>
          <w:b/>
          <w:bCs/>
          <w:spacing w:val="11"/>
          <w:sz w:val="23"/>
          <w:szCs w:val="23"/>
          <w:lang w:val="es-ES" w:eastAsia="es-ES"/>
        </w:rPr>
        <w:t>D</w:t>
      </w:r>
      <w:r w:rsidR="005D5696">
        <w:rPr>
          <w:rFonts w:ascii="Verdana" w:hAnsi="Verdana" w:cs="Verdana"/>
          <w:b/>
          <w:bCs/>
          <w:spacing w:val="11"/>
          <w:sz w:val="23"/>
          <w:szCs w:val="23"/>
          <w:lang w:val="es-ES" w:eastAsia="es-ES"/>
        </w:rPr>
        <w:t>.</w:t>
      </w:r>
      <w:r>
        <w:rPr>
          <w:rFonts w:ascii="Verdana" w:hAnsi="Verdana" w:cs="Verdana"/>
          <w:b/>
          <w:bCs/>
          <w:spacing w:val="9"/>
          <w:sz w:val="23"/>
          <w:szCs w:val="23"/>
          <w:lang w:val="es-ES" w:eastAsia="es-ES"/>
        </w:rPr>
        <w:t>T</w:t>
      </w:r>
      <w:r w:rsidR="005D5696">
        <w:rPr>
          <w:rFonts w:ascii="Verdana" w:hAnsi="Verdana" w:cs="Verdana"/>
          <w:b/>
          <w:bCs/>
          <w:spacing w:val="9"/>
          <w:sz w:val="23"/>
          <w:szCs w:val="23"/>
          <w:lang w:val="es-ES" w:eastAsia="es-ES"/>
        </w:rPr>
        <w:t>.</w:t>
      </w:r>
      <w:r>
        <w:rPr>
          <w:rFonts w:ascii="Verdana" w:hAnsi="Verdana" w:cs="Verdana"/>
          <w:b/>
          <w:bCs/>
          <w:spacing w:val="9"/>
          <w:sz w:val="23"/>
          <w:szCs w:val="23"/>
          <w:lang w:val="es-ES" w:eastAsia="es-ES"/>
        </w:rPr>
        <w:t>N</w:t>
      </w:r>
      <w:r w:rsidR="005D5696">
        <w:rPr>
          <w:rFonts w:ascii="Verdana" w:hAnsi="Verdana" w:cs="Verdana"/>
          <w:b/>
          <w:bCs/>
          <w:spacing w:val="9"/>
          <w:sz w:val="23"/>
          <w:szCs w:val="23"/>
          <w:lang w:val="es-ES" w:eastAsia="es-ES"/>
        </w:rPr>
        <w:t>.</w:t>
      </w:r>
      <w:r>
        <w:rPr>
          <w:rFonts w:ascii="Verdana" w:hAnsi="Verdana" w:cs="Verdana"/>
          <w:b/>
          <w:bCs/>
          <w:spacing w:val="9"/>
          <w:sz w:val="23"/>
          <w:szCs w:val="23"/>
          <w:lang w:val="es-ES" w:eastAsia="es-ES"/>
        </w:rPr>
        <w:t>P</w:t>
      </w:r>
      <w:r w:rsidR="005D5696">
        <w:rPr>
          <w:rFonts w:ascii="Verdana" w:hAnsi="Verdana" w:cs="Verdana"/>
          <w:b/>
          <w:bCs/>
          <w:spacing w:val="9"/>
          <w:sz w:val="23"/>
          <w:szCs w:val="23"/>
          <w:lang w:val="es-ES" w:eastAsia="es-ES"/>
        </w:rPr>
        <w:t>.</w:t>
      </w:r>
      <w:r>
        <w:rPr>
          <w:rFonts w:ascii="Verdana" w:hAnsi="Verdana" w:cs="Verdana"/>
          <w:b/>
          <w:bCs/>
          <w:spacing w:val="9"/>
          <w:sz w:val="23"/>
          <w:szCs w:val="23"/>
          <w:lang w:val="es-ES" w:eastAsia="es-ES"/>
        </w:rPr>
        <w:t>S</w:t>
      </w:r>
      <w:r w:rsidR="005D5696">
        <w:rPr>
          <w:rFonts w:ascii="Verdana" w:hAnsi="Verdana" w:cs="Verdana"/>
          <w:b/>
          <w:bCs/>
          <w:spacing w:val="9"/>
          <w:sz w:val="23"/>
          <w:szCs w:val="23"/>
          <w:lang w:val="es-ES" w:eastAsia="es-ES"/>
        </w:rPr>
        <w:t>.</w:t>
      </w:r>
      <w:r>
        <w:rPr>
          <w:rFonts w:ascii="Verdana" w:hAnsi="Verdana" w:cs="Verdana"/>
          <w:b/>
          <w:bCs/>
          <w:spacing w:val="9"/>
          <w:sz w:val="23"/>
          <w:szCs w:val="23"/>
          <w:lang w:val="es-ES" w:eastAsia="es-ES"/>
        </w:rPr>
        <w:t xml:space="preserve">S.A, </w:t>
      </w:r>
      <w:r>
        <w:rPr>
          <w:rFonts w:ascii="Verdana" w:hAnsi="Verdana" w:cs="Verdana"/>
          <w:spacing w:val="9"/>
          <w:lang w:val="es-ES" w:eastAsia="es-ES"/>
        </w:rPr>
        <w:t xml:space="preserve">en contra </w:t>
      </w:r>
      <w:r>
        <w:rPr>
          <w:rFonts w:ascii="Verdana" w:hAnsi="Verdana" w:cs="Verdana"/>
          <w:lang w:val="es-ES" w:eastAsia="es-ES"/>
        </w:rPr>
        <w:t>del Artículo 6.8.51 de la Sesión Ordinara N. 24-2010 del 22 de abril de 2010, emitido por la Junta Directiva del Consejo de Transporte Público.</w:t>
      </w:r>
    </w:p>
    <w:p w:rsidR="00C55558" w:rsidRDefault="00C55558">
      <w:pPr>
        <w:pStyle w:val="Style2"/>
        <w:kinsoku w:val="0"/>
        <w:autoSpaceDE/>
        <w:autoSpaceDN/>
        <w:adjustRightInd/>
        <w:spacing w:line="216" w:lineRule="auto"/>
        <w:ind w:left="72"/>
        <w:rPr>
          <w:rStyle w:val="CharacterStyle2"/>
          <w:rFonts w:ascii="Verdana" w:hAnsi="Verdana" w:cs="Verdana"/>
          <w:b/>
          <w:bCs/>
          <w:sz w:val="24"/>
          <w:szCs w:val="24"/>
          <w:lang w:val="es-ES" w:eastAsia="es-ES"/>
        </w:rPr>
      </w:pPr>
    </w:p>
    <w:p w:rsidR="005D5696" w:rsidRDefault="005D5696">
      <w:pPr>
        <w:pStyle w:val="Style2"/>
        <w:kinsoku w:val="0"/>
        <w:autoSpaceDE/>
        <w:autoSpaceDN/>
        <w:adjustRightInd/>
        <w:spacing w:line="216" w:lineRule="auto"/>
        <w:ind w:left="72"/>
        <w:rPr>
          <w:rStyle w:val="CharacterStyle2"/>
          <w:rFonts w:ascii="Verdana" w:hAnsi="Verdana" w:cs="Verdana"/>
          <w:b/>
          <w:bCs/>
          <w:sz w:val="24"/>
          <w:szCs w:val="24"/>
          <w:lang w:val="es-ES" w:eastAsia="es-ES"/>
        </w:rPr>
      </w:pPr>
    </w:p>
    <w:p w:rsidR="005D5696" w:rsidRDefault="005D5696">
      <w:pPr>
        <w:pStyle w:val="Style2"/>
        <w:kinsoku w:val="0"/>
        <w:autoSpaceDE/>
        <w:autoSpaceDN/>
        <w:adjustRightInd/>
        <w:spacing w:line="216" w:lineRule="auto"/>
        <w:ind w:left="72"/>
        <w:rPr>
          <w:rStyle w:val="CharacterStyle2"/>
          <w:rFonts w:ascii="Verdana" w:hAnsi="Verdana" w:cs="Verdana"/>
          <w:b/>
          <w:bCs/>
          <w:sz w:val="24"/>
          <w:szCs w:val="24"/>
          <w:lang w:val="es-ES" w:eastAsia="es-ES"/>
        </w:rPr>
      </w:pPr>
    </w:p>
    <w:p w:rsidR="005D5696" w:rsidRDefault="005D5696">
      <w:pPr>
        <w:pStyle w:val="Style2"/>
        <w:kinsoku w:val="0"/>
        <w:autoSpaceDE/>
        <w:autoSpaceDN/>
        <w:adjustRightInd/>
        <w:spacing w:line="216" w:lineRule="auto"/>
        <w:ind w:left="72"/>
        <w:rPr>
          <w:rStyle w:val="CharacterStyle2"/>
          <w:rFonts w:ascii="Verdana" w:hAnsi="Verdana" w:cs="Verdana"/>
          <w:b/>
          <w:bCs/>
          <w:sz w:val="24"/>
          <w:szCs w:val="24"/>
          <w:lang w:val="es-ES" w:eastAsia="es-ES"/>
        </w:rPr>
      </w:pPr>
    </w:p>
    <w:p w:rsidR="005D5696" w:rsidRDefault="005D5696">
      <w:pPr>
        <w:pStyle w:val="Style2"/>
        <w:kinsoku w:val="0"/>
        <w:autoSpaceDE/>
        <w:autoSpaceDN/>
        <w:adjustRightInd/>
        <w:spacing w:line="216" w:lineRule="auto"/>
        <w:ind w:left="72"/>
        <w:rPr>
          <w:rStyle w:val="CharacterStyle2"/>
          <w:rFonts w:ascii="Verdana" w:hAnsi="Verdana" w:cs="Verdana"/>
          <w:b/>
          <w:bCs/>
          <w:sz w:val="24"/>
          <w:szCs w:val="24"/>
          <w:lang w:val="es-ES" w:eastAsia="es-ES"/>
        </w:rPr>
      </w:pPr>
    </w:p>
    <w:p w:rsidR="005D5696" w:rsidRDefault="005D5696">
      <w:pPr>
        <w:pStyle w:val="Style2"/>
        <w:kinsoku w:val="0"/>
        <w:autoSpaceDE/>
        <w:autoSpaceDN/>
        <w:adjustRightInd/>
        <w:spacing w:line="216" w:lineRule="auto"/>
        <w:ind w:left="72"/>
        <w:rPr>
          <w:rStyle w:val="CharacterStyle2"/>
          <w:rFonts w:ascii="Verdana" w:hAnsi="Verdana" w:cs="Verdana"/>
          <w:b/>
          <w:bCs/>
          <w:sz w:val="24"/>
          <w:szCs w:val="24"/>
          <w:lang w:val="es-ES" w:eastAsia="es-ES"/>
        </w:rPr>
      </w:pPr>
    </w:p>
    <w:p w:rsidR="005D5696" w:rsidRDefault="005D5696">
      <w:pPr>
        <w:pStyle w:val="Style2"/>
        <w:kinsoku w:val="0"/>
        <w:autoSpaceDE/>
        <w:autoSpaceDN/>
        <w:adjustRightInd/>
        <w:spacing w:line="216" w:lineRule="auto"/>
        <w:ind w:left="72"/>
        <w:rPr>
          <w:rStyle w:val="CharacterStyle2"/>
          <w:rFonts w:ascii="Verdana" w:hAnsi="Verdana" w:cs="Verdana"/>
          <w:b/>
          <w:bCs/>
          <w:sz w:val="24"/>
          <w:szCs w:val="24"/>
          <w:lang w:val="es-ES" w:eastAsia="es-ES"/>
        </w:rPr>
      </w:pPr>
    </w:p>
    <w:p w:rsidR="005D5696" w:rsidRDefault="005D5696">
      <w:pPr>
        <w:pStyle w:val="Style2"/>
        <w:kinsoku w:val="0"/>
        <w:autoSpaceDE/>
        <w:autoSpaceDN/>
        <w:adjustRightInd/>
        <w:spacing w:line="216" w:lineRule="auto"/>
        <w:ind w:left="72"/>
        <w:rPr>
          <w:rStyle w:val="CharacterStyle2"/>
          <w:rFonts w:ascii="Verdana" w:hAnsi="Verdana" w:cs="Verdana"/>
          <w:b/>
          <w:bCs/>
          <w:sz w:val="24"/>
          <w:szCs w:val="24"/>
          <w:lang w:val="es-ES" w:eastAsia="es-ES"/>
        </w:rPr>
      </w:pPr>
    </w:p>
    <w:p w:rsidR="00073A77" w:rsidRDefault="00073A77">
      <w:pPr>
        <w:pStyle w:val="Style2"/>
        <w:kinsoku w:val="0"/>
        <w:autoSpaceDE/>
        <w:autoSpaceDN/>
        <w:adjustRightInd/>
        <w:spacing w:line="216" w:lineRule="auto"/>
        <w:ind w:left="72"/>
        <w:rPr>
          <w:rStyle w:val="CharacterStyle2"/>
          <w:rFonts w:ascii="Verdana" w:hAnsi="Verdana" w:cs="Verdana"/>
          <w:b/>
          <w:bCs/>
          <w:sz w:val="24"/>
          <w:szCs w:val="24"/>
          <w:lang w:val="es-ES" w:eastAsia="es-ES"/>
        </w:rPr>
      </w:pPr>
      <w:r>
        <w:rPr>
          <w:rStyle w:val="CharacterStyle2"/>
          <w:rFonts w:ascii="Verdana" w:hAnsi="Verdana" w:cs="Verdana"/>
          <w:b/>
          <w:bCs/>
          <w:sz w:val="24"/>
          <w:szCs w:val="24"/>
          <w:lang w:val="es-ES" w:eastAsia="es-ES"/>
        </w:rPr>
        <w:lastRenderedPageBreak/>
        <w:t>Redacta la Juez Pérez Peláez.</w:t>
      </w:r>
    </w:p>
    <w:p w:rsidR="00073A77" w:rsidRDefault="00073A77">
      <w:pPr>
        <w:pStyle w:val="Style2"/>
        <w:kinsoku w:val="0"/>
        <w:autoSpaceDE/>
        <w:autoSpaceDN/>
        <w:adjustRightInd/>
        <w:spacing w:before="756"/>
        <w:jc w:val="center"/>
        <w:rPr>
          <w:rStyle w:val="CharacterStyle2"/>
          <w:rFonts w:ascii="Verdana" w:hAnsi="Verdana" w:cs="Verdana"/>
          <w:b/>
          <w:bCs/>
          <w:sz w:val="24"/>
          <w:szCs w:val="24"/>
          <w:lang w:val="es-ES" w:eastAsia="es-ES"/>
        </w:rPr>
      </w:pPr>
      <w:r>
        <w:rPr>
          <w:rStyle w:val="CharacterStyle2"/>
          <w:rFonts w:ascii="Verdana" w:hAnsi="Verdana" w:cs="Verdana"/>
          <w:b/>
          <w:bCs/>
          <w:sz w:val="24"/>
          <w:szCs w:val="24"/>
          <w:lang w:val="es-ES" w:eastAsia="es-ES"/>
        </w:rPr>
        <w:t>CONSIDERANDO ÚNICO</w:t>
      </w:r>
    </w:p>
    <w:p w:rsidR="00073A77" w:rsidRDefault="00073A77">
      <w:pPr>
        <w:pStyle w:val="Style2"/>
        <w:kinsoku w:val="0"/>
        <w:autoSpaceDE/>
        <w:autoSpaceDN/>
        <w:adjustRightInd/>
        <w:spacing w:before="936" w:line="204" w:lineRule="auto"/>
        <w:jc w:val="center"/>
        <w:rPr>
          <w:rStyle w:val="CharacterStyle2"/>
          <w:rFonts w:ascii="Verdana" w:hAnsi="Verdana" w:cs="Verdana"/>
          <w:b/>
          <w:bCs/>
          <w:sz w:val="24"/>
          <w:szCs w:val="24"/>
          <w:lang w:val="es-ES" w:eastAsia="es-ES"/>
        </w:rPr>
      </w:pPr>
      <w:r>
        <w:rPr>
          <w:rStyle w:val="CharacterStyle2"/>
          <w:rFonts w:ascii="Verdana" w:hAnsi="Verdana" w:cs="Verdana"/>
          <w:b/>
          <w:bCs/>
          <w:sz w:val="24"/>
          <w:szCs w:val="24"/>
          <w:lang w:val="es-ES" w:eastAsia="es-ES"/>
        </w:rPr>
        <w:t>SE RECHAZA POR EXTEMPORANEO</w:t>
      </w:r>
    </w:p>
    <w:p w:rsidR="00073A77" w:rsidRDefault="00073A77">
      <w:pPr>
        <w:pStyle w:val="Style2"/>
        <w:kinsoku w:val="0"/>
        <w:autoSpaceDE/>
        <w:autoSpaceDN/>
        <w:adjustRightInd/>
        <w:spacing w:before="864"/>
        <w:ind w:left="72" w:right="72"/>
        <w:jc w:val="both"/>
        <w:rPr>
          <w:rStyle w:val="CharacterStyle2"/>
          <w:rFonts w:ascii="Verdana" w:hAnsi="Verdana" w:cs="Verdana"/>
          <w:spacing w:val="-6"/>
          <w:w w:val="105"/>
          <w:sz w:val="24"/>
          <w:szCs w:val="24"/>
          <w:lang w:val="es-ES" w:eastAsia="es-ES"/>
        </w:rPr>
      </w:pPr>
      <w:r>
        <w:rPr>
          <w:rStyle w:val="CharacterStyle2"/>
          <w:rFonts w:ascii="Verdana" w:hAnsi="Verdana" w:cs="Verdana"/>
          <w:spacing w:val="-9"/>
          <w:w w:val="105"/>
          <w:sz w:val="24"/>
          <w:szCs w:val="24"/>
          <w:lang w:val="es-ES" w:eastAsia="es-ES"/>
        </w:rPr>
        <w:t xml:space="preserve">En nuestro ordenamiento administrativo, no se contempla la figura de la </w:t>
      </w:r>
      <w:r>
        <w:rPr>
          <w:rStyle w:val="CharacterStyle2"/>
          <w:rFonts w:ascii="Verdana" w:hAnsi="Verdana" w:cs="Verdana"/>
          <w:spacing w:val="-4"/>
          <w:w w:val="105"/>
          <w:sz w:val="24"/>
          <w:szCs w:val="24"/>
          <w:lang w:val="es-ES" w:eastAsia="es-ES"/>
        </w:rPr>
        <w:t xml:space="preserve">adición y la aclaración de resoluciones administrativas, es por tal razón </w:t>
      </w:r>
      <w:r>
        <w:rPr>
          <w:rStyle w:val="CharacterStyle2"/>
          <w:rFonts w:ascii="Verdana" w:hAnsi="Verdana" w:cs="Verdana"/>
          <w:w w:val="105"/>
          <w:sz w:val="24"/>
          <w:szCs w:val="24"/>
          <w:lang w:val="es-ES" w:eastAsia="es-ES"/>
        </w:rPr>
        <w:t xml:space="preserve">que debemos en amparo del artículo 9 de la Ley General de la </w:t>
      </w:r>
      <w:r>
        <w:rPr>
          <w:rStyle w:val="CharacterStyle2"/>
          <w:rFonts w:ascii="Verdana" w:hAnsi="Verdana" w:cs="Verdana"/>
          <w:spacing w:val="-3"/>
          <w:w w:val="105"/>
          <w:sz w:val="24"/>
          <w:szCs w:val="24"/>
          <w:lang w:val="es-ES" w:eastAsia="es-ES"/>
        </w:rPr>
        <w:t xml:space="preserve">Administración Pública, integrar las demás normas del ordenamiento </w:t>
      </w:r>
      <w:r>
        <w:rPr>
          <w:rStyle w:val="CharacterStyle2"/>
          <w:rFonts w:ascii="Verdana" w:hAnsi="Verdana" w:cs="Verdana"/>
          <w:spacing w:val="-2"/>
          <w:w w:val="105"/>
          <w:sz w:val="24"/>
          <w:szCs w:val="24"/>
          <w:lang w:val="es-ES" w:eastAsia="es-ES"/>
        </w:rPr>
        <w:t xml:space="preserve">jurídico nacional y por ello acudimos al Código Procesal Civil el cual en </w:t>
      </w:r>
      <w:r>
        <w:rPr>
          <w:rStyle w:val="CharacterStyle2"/>
          <w:rFonts w:ascii="Verdana" w:hAnsi="Verdana" w:cs="Verdana"/>
          <w:spacing w:val="-6"/>
          <w:w w:val="105"/>
          <w:sz w:val="24"/>
          <w:szCs w:val="24"/>
          <w:lang w:val="es-ES" w:eastAsia="es-ES"/>
        </w:rPr>
        <w:t>su numeral 158 dispone:</w:t>
      </w:r>
    </w:p>
    <w:p w:rsidR="00073A77" w:rsidRDefault="00073A77">
      <w:pPr>
        <w:pStyle w:val="Style2"/>
        <w:kinsoku w:val="0"/>
        <w:autoSpaceDE/>
        <w:autoSpaceDN/>
        <w:adjustRightInd/>
        <w:spacing w:before="612" w:line="278" w:lineRule="auto"/>
        <w:ind w:left="432"/>
        <w:rPr>
          <w:rStyle w:val="CharacterStyle2"/>
          <w:rFonts w:ascii="Verdana" w:hAnsi="Verdana" w:cs="Verdana"/>
          <w:b/>
          <w:bCs/>
          <w:i/>
          <w:iCs/>
          <w:sz w:val="18"/>
          <w:szCs w:val="18"/>
          <w:lang w:val="es-ES" w:eastAsia="es-ES"/>
        </w:rPr>
      </w:pPr>
      <w:r>
        <w:rPr>
          <w:rStyle w:val="CharacterStyle2"/>
          <w:rFonts w:ascii="Verdana" w:hAnsi="Verdana" w:cs="Verdana"/>
          <w:b/>
          <w:bCs/>
          <w:i/>
          <w:iCs/>
          <w:sz w:val="18"/>
          <w:szCs w:val="18"/>
          <w:lang w:val="es-ES" w:eastAsia="es-ES"/>
        </w:rPr>
        <w:t>ARTÍCULO 158.- Aclaración y adición.</w:t>
      </w:r>
    </w:p>
    <w:p w:rsidR="00073A77" w:rsidRDefault="00073A77">
      <w:pPr>
        <w:pStyle w:val="Style2"/>
        <w:kinsoku w:val="0"/>
        <w:autoSpaceDE/>
        <w:autoSpaceDN/>
        <w:adjustRightInd/>
        <w:ind w:left="432" w:right="432"/>
        <w:jc w:val="both"/>
        <w:rPr>
          <w:rStyle w:val="CharacterStyle2"/>
          <w:rFonts w:ascii="Verdana" w:hAnsi="Verdana" w:cs="Verdana"/>
          <w:i/>
          <w:iCs/>
          <w:spacing w:val="-4"/>
          <w:w w:val="105"/>
          <w:sz w:val="18"/>
          <w:szCs w:val="18"/>
          <w:lang w:val="es-ES" w:eastAsia="es-ES"/>
        </w:rPr>
      </w:pPr>
      <w:r>
        <w:rPr>
          <w:rStyle w:val="CharacterStyle2"/>
          <w:rFonts w:ascii="Verdana" w:hAnsi="Verdana" w:cs="Verdana"/>
          <w:i/>
          <w:iCs/>
          <w:spacing w:val="-5"/>
          <w:w w:val="105"/>
          <w:sz w:val="18"/>
          <w:szCs w:val="18"/>
          <w:lang w:val="es-ES" w:eastAsia="es-ES"/>
        </w:rPr>
        <w:t xml:space="preserve">Los jueces y los tribunales no podrán variar ni modificar sus sentencias, pero sí aclarar </w:t>
      </w:r>
      <w:r>
        <w:rPr>
          <w:rStyle w:val="CharacterStyle2"/>
          <w:rFonts w:ascii="Verdana" w:hAnsi="Verdana" w:cs="Verdana"/>
          <w:i/>
          <w:iCs/>
          <w:spacing w:val="1"/>
          <w:w w:val="105"/>
          <w:sz w:val="18"/>
          <w:szCs w:val="18"/>
          <w:lang w:val="es-ES" w:eastAsia="es-ES"/>
        </w:rPr>
        <w:t xml:space="preserve">cualquier concepto oscuro o suplir cualquier omisión que contengan sobre punto </w:t>
      </w:r>
      <w:r>
        <w:rPr>
          <w:rStyle w:val="CharacterStyle2"/>
          <w:rFonts w:ascii="Verdana" w:hAnsi="Verdana" w:cs="Verdana"/>
          <w:i/>
          <w:iCs/>
          <w:spacing w:val="-2"/>
          <w:w w:val="105"/>
          <w:sz w:val="18"/>
          <w:szCs w:val="18"/>
          <w:lang w:val="es-ES" w:eastAsia="es-ES"/>
        </w:rPr>
        <w:t xml:space="preserve">discutido en el litigio. La aclaración o adición de la sentencia sólo proceden respecto de </w:t>
      </w:r>
      <w:r>
        <w:rPr>
          <w:rStyle w:val="CharacterStyle2"/>
          <w:rFonts w:ascii="Verdana" w:hAnsi="Verdana" w:cs="Verdana"/>
          <w:i/>
          <w:iCs/>
          <w:spacing w:val="-4"/>
          <w:w w:val="105"/>
          <w:sz w:val="18"/>
          <w:szCs w:val="18"/>
          <w:lang w:val="es-ES" w:eastAsia="es-ES"/>
        </w:rPr>
        <w:t>la parte dispositiva.</w:t>
      </w:r>
    </w:p>
    <w:p w:rsidR="00073A77" w:rsidRDefault="00073A77">
      <w:pPr>
        <w:pStyle w:val="Style2"/>
        <w:kinsoku w:val="0"/>
        <w:autoSpaceDE/>
        <w:autoSpaceDN/>
        <w:adjustRightInd/>
        <w:ind w:left="432" w:right="504"/>
        <w:jc w:val="both"/>
        <w:rPr>
          <w:rStyle w:val="CharacterStyle2"/>
          <w:rFonts w:ascii="Verdana" w:hAnsi="Verdana" w:cs="Verdana"/>
          <w:i/>
          <w:iCs/>
          <w:spacing w:val="-4"/>
          <w:w w:val="105"/>
          <w:sz w:val="18"/>
          <w:szCs w:val="18"/>
          <w:lang w:val="es-ES" w:eastAsia="es-ES"/>
        </w:rPr>
      </w:pPr>
      <w:r>
        <w:rPr>
          <w:rStyle w:val="CharacterStyle2"/>
          <w:rFonts w:ascii="Verdana" w:hAnsi="Verdana" w:cs="Verdana"/>
          <w:i/>
          <w:iCs/>
          <w:spacing w:val="-4"/>
          <w:w w:val="105"/>
          <w:sz w:val="18"/>
          <w:szCs w:val="18"/>
          <w:lang w:val="es-ES" w:eastAsia="es-ES"/>
        </w:rPr>
        <w:t xml:space="preserve">Estas aclaraciones o adiciones podrán hacerse de oficio antes de que se notifique la </w:t>
      </w:r>
      <w:r>
        <w:rPr>
          <w:rStyle w:val="CharacterStyle2"/>
          <w:rFonts w:ascii="Verdana" w:hAnsi="Verdana" w:cs="Verdana"/>
          <w:i/>
          <w:iCs/>
          <w:spacing w:val="-1"/>
          <w:w w:val="105"/>
          <w:sz w:val="18"/>
          <w:szCs w:val="18"/>
          <w:lang w:val="es-ES" w:eastAsia="es-ES"/>
        </w:rPr>
        <w:t xml:space="preserve">resolución correspondiente, </w:t>
      </w:r>
      <w:r>
        <w:rPr>
          <w:rStyle w:val="CharacterStyle2"/>
          <w:rFonts w:ascii="Verdana" w:hAnsi="Verdana" w:cs="Verdana"/>
          <w:b/>
          <w:bCs/>
          <w:i/>
          <w:iCs/>
          <w:spacing w:val="-1"/>
          <w:w w:val="105"/>
          <w:sz w:val="17"/>
          <w:szCs w:val="17"/>
          <w:u w:val="single"/>
          <w:lang w:val="es-ES" w:eastAsia="es-ES"/>
        </w:rPr>
        <w:t xml:space="preserve">o a instancia de parte presentada dentro del plazo de </w:t>
      </w:r>
      <w:r>
        <w:rPr>
          <w:rStyle w:val="CharacterStyle2"/>
          <w:rFonts w:ascii="Verdana" w:hAnsi="Verdana" w:cs="Verdana"/>
          <w:b/>
          <w:bCs/>
          <w:i/>
          <w:iCs/>
          <w:spacing w:val="-5"/>
          <w:w w:val="105"/>
          <w:sz w:val="17"/>
          <w:szCs w:val="17"/>
          <w:u w:val="single"/>
          <w:lang w:val="es-ES" w:eastAsia="es-ES"/>
        </w:rPr>
        <w:t xml:space="preserve">tres días. </w:t>
      </w:r>
      <w:r>
        <w:rPr>
          <w:rStyle w:val="CharacterStyle2"/>
          <w:rFonts w:ascii="Verdana" w:hAnsi="Verdana" w:cs="Verdana"/>
          <w:i/>
          <w:iCs/>
          <w:spacing w:val="-5"/>
          <w:w w:val="105"/>
          <w:sz w:val="18"/>
          <w:szCs w:val="18"/>
          <w:lang w:val="es-ES" w:eastAsia="es-ES"/>
        </w:rPr>
        <w:t xml:space="preserve"> En este último caso, el juez o el tribunal, dentro de las veinticuatro horas </w:t>
      </w:r>
      <w:r>
        <w:rPr>
          <w:rStyle w:val="CharacterStyle2"/>
          <w:rFonts w:ascii="Verdana" w:hAnsi="Verdana" w:cs="Verdana"/>
          <w:i/>
          <w:iCs/>
          <w:spacing w:val="-4"/>
          <w:w w:val="105"/>
          <w:sz w:val="18"/>
          <w:szCs w:val="18"/>
          <w:lang w:val="es-ES" w:eastAsia="es-ES"/>
        </w:rPr>
        <w:t xml:space="preserve">siguientes, resolverá lo que proceda. </w:t>
      </w:r>
      <w:proofErr w:type="gramStart"/>
      <w:r>
        <w:rPr>
          <w:rStyle w:val="CharacterStyle2"/>
          <w:rFonts w:ascii="Verdana" w:hAnsi="Verdana" w:cs="Verdana"/>
          <w:i/>
          <w:iCs/>
          <w:spacing w:val="-4"/>
          <w:w w:val="105"/>
          <w:sz w:val="18"/>
          <w:szCs w:val="18"/>
          <w:lang w:val="es-ES" w:eastAsia="es-ES"/>
        </w:rPr>
        <w:t>( EL</w:t>
      </w:r>
      <w:proofErr w:type="gramEnd"/>
      <w:r>
        <w:rPr>
          <w:rStyle w:val="CharacterStyle2"/>
          <w:rFonts w:ascii="Verdana" w:hAnsi="Verdana" w:cs="Verdana"/>
          <w:i/>
          <w:iCs/>
          <w:spacing w:val="-4"/>
          <w:w w:val="105"/>
          <w:sz w:val="18"/>
          <w:szCs w:val="18"/>
          <w:lang w:val="es-ES" w:eastAsia="es-ES"/>
        </w:rPr>
        <w:t xml:space="preserve"> RESALTADO ES NUESTRO)</w:t>
      </w:r>
    </w:p>
    <w:p w:rsidR="00073A77" w:rsidRDefault="00073A77">
      <w:pPr>
        <w:pStyle w:val="Style2"/>
        <w:kinsoku w:val="0"/>
        <w:autoSpaceDE/>
        <w:autoSpaceDN/>
        <w:adjustRightInd/>
        <w:spacing w:before="504" w:after="1512"/>
        <w:ind w:left="72" w:right="72"/>
        <w:jc w:val="both"/>
        <w:rPr>
          <w:rStyle w:val="CharacterStyle2"/>
          <w:rFonts w:ascii="Verdana" w:hAnsi="Verdana" w:cs="Verdana"/>
          <w:spacing w:val="-6"/>
          <w:w w:val="105"/>
          <w:sz w:val="24"/>
          <w:szCs w:val="24"/>
          <w:lang w:val="es-ES" w:eastAsia="es-ES"/>
        </w:rPr>
      </w:pPr>
      <w:r>
        <w:rPr>
          <w:rStyle w:val="CharacterStyle2"/>
          <w:rFonts w:ascii="Verdana" w:hAnsi="Verdana" w:cs="Verdana"/>
          <w:spacing w:val="-3"/>
          <w:w w:val="105"/>
          <w:sz w:val="24"/>
          <w:szCs w:val="24"/>
          <w:lang w:val="es-ES" w:eastAsia="es-ES"/>
        </w:rPr>
        <w:t xml:space="preserve">Como se verifica en las piezas del expediente, la solicitud de Aclaración </w:t>
      </w:r>
      <w:r>
        <w:rPr>
          <w:rStyle w:val="CharacterStyle2"/>
          <w:rFonts w:ascii="Verdana" w:hAnsi="Verdana" w:cs="Verdana"/>
          <w:spacing w:val="-4"/>
          <w:w w:val="105"/>
          <w:sz w:val="24"/>
          <w:szCs w:val="24"/>
          <w:lang w:val="es-ES" w:eastAsia="es-ES"/>
        </w:rPr>
        <w:t xml:space="preserve">y Adición, a la Resolución del Tribunal Administrativo de Transporte </w:t>
      </w:r>
      <w:r>
        <w:rPr>
          <w:rStyle w:val="CharacterStyle2"/>
          <w:rFonts w:ascii="Verdana" w:hAnsi="Verdana" w:cs="Verdana"/>
          <w:b/>
          <w:bCs/>
          <w:spacing w:val="-4"/>
          <w:sz w:val="24"/>
          <w:szCs w:val="24"/>
          <w:lang w:val="es-ES" w:eastAsia="es-ES"/>
        </w:rPr>
        <w:t xml:space="preserve">N. </w:t>
      </w:r>
      <w:r>
        <w:rPr>
          <w:rStyle w:val="CharacterStyle2"/>
          <w:rFonts w:ascii="Verdana" w:hAnsi="Verdana" w:cs="Verdana"/>
          <w:b/>
          <w:bCs/>
          <w:sz w:val="24"/>
          <w:szCs w:val="24"/>
          <w:lang w:val="es-ES" w:eastAsia="es-ES"/>
        </w:rPr>
        <w:t xml:space="preserve">TAT-2168-2013 </w:t>
      </w:r>
      <w:r>
        <w:rPr>
          <w:rStyle w:val="CharacterStyle2"/>
          <w:rFonts w:ascii="Verdana" w:hAnsi="Verdana" w:cs="Verdana"/>
          <w:w w:val="105"/>
          <w:sz w:val="24"/>
          <w:szCs w:val="24"/>
          <w:lang w:val="es-ES" w:eastAsia="es-ES"/>
        </w:rPr>
        <w:t xml:space="preserve">de las quince horas cinco minutos del veintitrés de </w:t>
      </w:r>
      <w:r>
        <w:rPr>
          <w:rStyle w:val="CharacterStyle2"/>
          <w:rFonts w:ascii="Verdana" w:hAnsi="Verdana" w:cs="Verdana"/>
          <w:spacing w:val="-3"/>
          <w:w w:val="105"/>
          <w:sz w:val="24"/>
          <w:szCs w:val="24"/>
          <w:lang w:val="es-ES" w:eastAsia="es-ES"/>
        </w:rPr>
        <w:t xml:space="preserve">julio de 2013, se presenta el 20 de agosto de 2013, pero fue notificada </w:t>
      </w:r>
      <w:r>
        <w:rPr>
          <w:rStyle w:val="CharacterStyle2"/>
          <w:rFonts w:ascii="Verdana" w:hAnsi="Verdana" w:cs="Verdana"/>
          <w:spacing w:val="-9"/>
          <w:w w:val="105"/>
          <w:sz w:val="24"/>
          <w:szCs w:val="24"/>
          <w:lang w:val="es-ES" w:eastAsia="es-ES"/>
        </w:rPr>
        <w:t xml:space="preserve">al Consejo de Transporte Público el 12 de agosto de los corrientes según </w:t>
      </w:r>
      <w:r>
        <w:rPr>
          <w:rStyle w:val="CharacterStyle2"/>
          <w:rFonts w:ascii="Verdana" w:hAnsi="Verdana" w:cs="Verdana"/>
          <w:spacing w:val="-6"/>
          <w:w w:val="105"/>
          <w:sz w:val="24"/>
          <w:szCs w:val="24"/>
          <w:lang w:val="es-ES" w:eastAsia="es-ES"/>
        </w:rPr>
        <w:t xml:space="preserve">consta a folio 472 del tomo II del expediente TAT-031-12, por lo que al </w:t>
      </w:r>
      <w:r>
        <w:rPr>
          <w:rStyle w:val="CharacterStyle2"/>
          <w:rFonts w:ascii="Verdana" w:hAnsi="Verdana" w:cs="Verdana"/>
          <w:spacing w:val="-5"/>
          <w:w w:val="105"/>
          <w:sz w:val="24"/>
          <w:szCs w:val="24"/>
          <w:lang w:val="es-ES" w:eastAsia="es-ES"/>
        </w:rPr>
        <w:t xml:space="preserve">tenor del artículo 158 del Código Procesal Civil, la misma se encuentra </w:t>
      </w:r>
      <w:r>
        <w:rPr>
          <w:rStyle w:val="CharacterStyle2"/>
          <w:rFonts w:ascii="Verdana" w:hAnsi="Verdana" w:cs="Verdana"/>
          <w:spacing w:val="-6"/>
          <w:w w:val="105"/>
          <w:sz w:val="24"/>
          <w:szCs w:val="24"/>
          <w:lang w:val="es-ES" w:eastAsia="es-ES"/>
        </w:rPr>
        <w:t>extemporánea y por lo tanto debe rechazarse.</w:t>
      </w:r>
    </w:p>
    <w:p w:rsidR="00C55558" w:rsidRDefault="00C55558">
      <w:pPr>
        <w:pStyle w:val="Style2"/>
        <w:kinsoku w:val="0"/>
        <w:autoSpaceDE/>
        <w:autoSpaceDN/>
        <w:adjustRightInd/>
        <w:spacing w:line="206" w:lineRule="auto"/>
        <w:ind w:left="3600"/>
        <w:rPr>
          <w:rStyle w:val="CharacterStyle2"/>
          <w:rFonts w:ascii="Verdana" w:hAnsi="Verdana" w:cs="Verdana"/>
          <w:b/>
          <w:bCs/>
          <w:sz w:val="23"/>
          <w:szCs w:val="23"/>
          <w:lang w:val="es-ES" w:eastAsia="es-ES"/>
        </w:rPr>
      </w:pPr>
    </w:p>
    <w:p w:rsidR="005D5696" w:rsidRDefault="005D5696">
      <w:pPr>
        <w:pStyle w:val="Style2"/>
        <w:kinsoku w:val="0"/>
        <w:autoSpaceDE/>
        <w:autoSpaceDN/>
        <w:adjustRightInd/>
        <w:spacing w:line="206" w:lineRule="auto"/>
        <w:ind w:left="3600"/>
        <w:rPr>
          <w:rStyle w:val="CharacterStyle2"/>
          <w:rFonts w:ascii="Verdana" w:hAnsi="Verdana" w:cs="Verdana"/>
          <w:b/>
          <w:bCs/>
          <w:sz w:val="23"/>
          <w:szCs w:val="23"/>
          <w:lang w:val="es-ES" w:eastAsia="es-ES"/>
        </w:rPr>
      </w:pPr>
    </w:p>
    <w:p w:rsidR="005D5696" w:rsidRDefault="005D5696">
      <w:pPr>
        <w:pStyle w:val="Style2"/>
        <w:kinsoku w:val="0"/>
        <w:autoSpaceDE/>
        <w:autoSpaceDN/>
        <w:adjustRightInd/>
        <w:spacing w:line="206" w:lineRule="auto"/>
        <w:ind w:left="3600"/>
        <w:rPr>
          <w:rStyle w:val="CharacterStyle2"/>
          <w:rFonts w:ascii="Verdana" w:hAnsi="Verdana" w:cs="Verdana"/>
          <w:b/>
          <w:bCs/>
          <w:sz w:val="23"/>
          <w:szCs w:val="23"/>
          <w:lang w:val="es-ES" w:eastAsia="es-ES"/>
        </w:rPr>
      </w:pPr>
    </w:p>
    <w:p w:rsidR="00C55558" w:rsidRDefault="00C55558">
      <w:pPr>
        <w:pStyle w:val="Style2"/>
        <w:kinsoku w:val="0"/>
        <w:autoSpaceDE/>
        <w:autoSpaceDN/>
        <w:adjustRightInd/>
        <w:spacing w:line="206" w:lineRule="auto"/>
        <w:ind w:left="3600"/>
        <w:rPr>
          <w:rStyle w:val="CharacterStyle2"/>
          <w:rFonts w:ascii="Verdana" w:hAnsi="Verdana" w:cs="Verdana"/>
          <w:b/>
          <w:bCs/>
          <w:sz w:val="23"/>
          <w:szCs w:val="23"/>
          <w:lang w:val="es-ES" w:eastAsia="es-ES"/>
        </w:rPr>
      </w:pPr>
    </w:p>
    <w:p w:rsidR="00073A77" w:rsidRDefault="00073A77">
      <w:pPr>
        <w:pStyle w:val="Style2"/>
        <w:kinsoku w:val="0"/>
        <w:autoSpaceDE/>
        <w:autoSpaceDN/>
        <w:adjustRightInd/>
        <w:spacing w:line="206" w:lineRule="auto"/>
        <w:ind w:left="3600"/>
        <w:rPr>
          <w:rStyle w:val="CharacterStyle2"/>
          <w:rFonts w:ascii="Verdana" w:hAnsi="Verdana" w:cs="Verdana"/>
          <w:b/>
          <w:bCs/>
          <w:sz w:val="23"/>
          <w:szCs w:val="23"/>
          <w:lang w:val="es-ES" w:eastAsia="es-ES"/>
        </w:rPr>
      </w:pPr>
      <w:r>
        <w:rPr>
          <w:rStyle w:val="CharacterStyle2"/>
          <w:rFonts w:ascii="Verdana" w:hAnsi="Verdana" w:cs="Verdana"/>
          <w:b/>
          <w:bCs/>
          <w:sz w:val="23"/>
          <w:szCs w:val="23"/>
          <w:lang w:val="es-ES" w:eastAsia="es-ES"/>
        </w:rPr>
        <w:lastRenderedPageBreak/>
        <w:t>POR TANTO</w:t>
      </w:r>
    </w:p>
    <w:p w:rsidR="00073A77" w:rsidRDefault="00073A77">
      <w:pPr>
        <w:pStyle w:val="Style2"/>
        <w:kinsoku w:val="0"/>
        <w:autoSpaceDE/>
        <w:autoSpaceDN/>
        <w:adjustRightInd/>
        <w:spacing w:before="864" w:after="504"/>
        <w:ind w:right="288"/>
        <w:jc w:val="both"/>
        <w:rPr>
          <w:rStyle w:val="CharacterStyle2"/>
          <w:rFonts w:ascii="Verdana" w:hAnsi="Verdana" w:cs="Verdana"/>
          <w:b/>
          <w:bCs/>
          <w:spacing w:val="6"/>
          <w:sz w:val="23"/>
          <w:szCs w:val="23"/>
          <w:lang w:val="es-ES" w:eastAsia="es-ES"/>
        </w:rPr>
      </w:pPr>
      <w:r>
        <w:rPr>
          <w:rStyle w:val="CharacterStyle2"/>
          <w:rFonts w:ascii="Verdana" w:hAnsi="Verdana" w:cs="Verdana"/>
          <w:b/>
          <w:bCs/>
          <w:spacing w:val="3"/>
          <w:sz w:val="23"/>
          <w:szCs w:val="23"/>
          <w:lang w:val="es-ES" w:eastAsia="es-ES"/>
        </w:rPr>
        <w:t xml:space="preserve">I.- </w:t>
      </w:r>
      <w:r>
        <w:rPr>
          <w:rStyle w:val="CharacterStyle2"/>
          <w:rFonts w:ascii="Verdana" w:hAnsi="Verdana" w:cs="Verdana"/>
          <w:spacing w:val="3"/>
          <w:sz w:val="24"/>
          <w:szCs w:val="24"/>
          <w:lang w:val="es-ES" w:eastAsia="es-ES"/>
        </w:rPr>
        <w:t xml:space="preserve">Se rechaza por extemporánea la </w:t>
      </w:r>
      <w:r>
        <w:rPr>
          <w:rStyle w:val="CharacterStyle2"/>
          <w:rFonts w:ascii="Verdana" w:hAnsi="Verdana" w:cs="Verdana"/>
          <w:b/>
          <w:bCs/>
          <w:spacing w:val="3"/>
          <w:sz w:val="23"/>
          <w:szCs w:val="23"/>
          <w:lang w:val="es-ES" w:eastAsia="es-ES"/>
        </w:rPr>
        <w:t>Solicitud Aclaración y</w:t>
      </w:r>
      <w:r w:rsidR="00C55558">
        <w:rPr>
          <w:rStyle w:val="CharacterStyle2"/>
          <w:rFonts w:ascii="Verdana" w:hAnsi="Verdana" w:cs="Verdana"/>
          <w:b/>
          <w:bCs/>
          <w:spacing w:val="3"/>
          <w:sz w:val="23"/>
          <w:szCs w:val="23"/>
          <w:lang w:val="es-ES" w:eastAsia="es-ES"/>
        </w:rPr>
        <w:t>/</w:t>
      </w:r>
      <w:r>
        <w:rPr>
          <w:rStyle w:val="CharacterStyle2"/>
          <w:rFonts w:ascii="Verdana" w:hAnsi="Verdana" w:cs="Verdana"/>
          <w:b/>
          <w:bCs/>
          <w:spacing w:val="3"/>
          <w:sz w:val="23"/>
          <w:szCs w:val="23"/>
          <w:lang w:val="es-ES" w:eastAsia="es-ES"/>
        </w:rPr>
        <w:t xml:space="preserve">o Adición </w:t>
      </w:r>
      <w:r>
        <w:rPr>
          <w:rStyle w:val="CharacterStyle2"/>
          <w:rFonts w:ascii="Verdana" w:hAnsi="Verdana" w:cs="Verdana"/>
          <w:spacing w:val="6"/>
          <w:sz w:val="24"/>
          <w:szCs w:val="24"/>
          <w:lang w:val="es-ES" w:eastAsia="es-ES"/>
        </w:rPr>
        <w:t xml:space="preserve">de la Resolución del Tribunal Administrativo de Transporte </w:t>
      </w:r>
      <w:r>
        <w:rPr>
          <w:rStyle w:val="CharacterStyle2"/>
          <w:rFonts w:ascii="Verdana" w:hAnsi="Verdana" w:cs="Verdana"/>
          <w:b/>
          <w:bCs/>
          <w:spacing w:val="6"/>
          <w:sz w:val="23"/>
          <w:szCs w:val="23"/>
          <w:lang w:val="es-ES" w:eastAsia="es-ES"/>
        </w:rPr>
        <w:t>N. TAT</w:t>
      </w:r>
      <w:r>
        <w:rPr>
          <w:rStyle w:val="CharacterStyle2"/>
          <w:rFonts w:ascii="Verdana" w:hAnsi="Verdana" w:cs="Verdana"/>
          <w:b/>
          <w:bCs/>
          <w:spacing w:val="6"/>
          <w:sz w:val="23"/>
          <w:szCs w:val="23"/>
          <w:lang w:val="es-ES" w:eastAsia="es-ES"/>
        </w:rPr>
        <w:softHyphen/>
      </w:r>
      <w:r>
        <w:rPr>
          <w:rStyle w:val="CharacterStyle2"/>
          <w:rFonts w:ascii="Verdana" w:hAnsi="Verdana" w:cs="Verdana"/>
          <w:b/>
          <w:bCs/>
          <w:sz w:val="23"/>
          <w:szCs w:val="23"/>
          <w:lang w:val="es-ES" w:eastAsia="es-ES"/>
        </w:rPr>
        <w:t xml:space="preserve">2168-2013 </w:t>
      </w:r>
      <w:r>
        <w:rPr>
          <w:rStyle w:val="CharacterStyle2"/>
          <w:rFonts w:ascii="Verdana" w:hAnsi="Verdana" w:cs="Verdana"/>
          <w:sz w:val="24"/>
          <w:szCs w:val="24"/>
          <w:lang w:val="es-ES" w:eastAsia="es-ES"/>
        </w:rPr>
        <w:t xml:space="preserve">de las quince horas cinco minutos del veintitrés de julio de </w:t>
      </w:r>
      <w:r>
        <w:rPr>
          <w:rStyle w:val="CharacterStyle2"/>
          <w:rFonts w:ascii="Verdana" w:hAnsi="Verdana" w:cs="Verdana"/>
          <w:spacing w:val="-9"/>
          <w:sz w:val="24"/>
          <w:szCs w:val="24"/>
          <w:lang w:val="es-ES" w:eastAsia="es-ES"/>
        </w:rPr>
        <w:t xml:space="preserve">2013, </w:t>
      </w:r>
      <w:r>
        <w:rPr>
          <w:rStyle w:val="CharacterStyle2"/>
          <w:rFonts w:ascii="Verdana" w:hAnsi="Verdana" w:cs="Verdana"/>
          <w:b/>
          <w:bCs/>
          <w:spacing w:val="-9"/>
          <w:sz w:val="23"/>
          <w:szCs w:val="23"/>
          <w:lang w:val="es-ES" w:eastAsia="es-ES"/>
        </w:rPr>
        <w:t>presentado por EL LIC. M</w:t>
      </w:r>
      <w:r w:rsidR="005D5696">
        <w:rPr>
          <w:rStyle w:val="CharacterStyle2"/>
          <w:rFonts w:ascii="Verdana" w:hAnsi="Verdana" w:cs="Verdana"/>
          <w:b/>
          <w:bCs/>
          <w:spacing w:val="-9"/>
          <w:sz w:val="23"/>
          <w:szCs w:val="23"/>
          <w:lang w:val="es-ES" w:eastAsia="es-ES"/>
        </w:rPr>
        <w:t>.</w:t>
      </w:r>
      <w:r>
        <w:rPr>
          <w:rStyle w:val="CharacterStyle2"/>
          <w:rFonts w:ascii="Verdana" w:hAnsi="Verdana" w:cs="Verdana"/>
          <w:b/>
          <w:bCs/>
          <w:spacing w:val="-9"/>
          <w:sz w:val="23"/>
          <w:szCs w:val="23"/>
          <w:lang w:val="es-ES" w:eastAsia="es-ES"/>
        </w:rPr>
        <w:t>F</w:t>
      </w:r>
      <w:r w:rsidR="005D5696">
        <w:rPr>
          <w:rStyle w:val="CharacterStyle2"/>
          <w:rFonts w:ascii="Verdana" w:hAnsi="Verdana" w:cs="Verdana"/>
          <w:b/>
          <w:bCs/>
          <w:spacing w:val="-9"/>
          <w:sz w:val="23"/>
          <w:szCs w:val="23"/>
          <w:lang w:val="es-ES" w:eastAsia="es-ES"/>
        </w:rPr>
        <w:t>.</w:t>
      </w:r>
      <w:r>
        <w:rPr>
          <w:rStyle w:val="CharacterStyle2"/>
          <w:rFonts w:ascii="Verdana" w:hAnsi="Verdana" w:cs="Verdana"/>
          <w:b/>
          <w:bCs/>
          <w:spacing w:val="-9"/>
          <w:sz w:val="23"/>
          <w:szCs w:val="23"/>
          <w:lang w:val="es-ES" w:eastAsia="es-ES"/>
        </w:rPr>
        <w:t>B</w:t>
      </w:r>
      <w:r w:rsidR="005D5696">
        <w:rPr>
          <w:rStyle w:val="CharacterStyle2"/>
          <w:rFonts w:ascii="Verdana" w:hAnsi="Verdana" w:cs="Verdana"/>
          <w:b/>
          <w:bCs/>
          <w:spacing w:val="-9"/>
          <w:sz w:val="23"/>
          <w:szCs w:val="23"/>
          <w:lang w:val="es-ES" w:eastAsia="es-ES"/>
        </w:rPr>
        <w:t>.</w:t>
      </w:r>
      <w:r>
        <w:rPr>
          <w:rStyle w:val="CharacterStyle2"/>
          <w:rFonts w:ascii="Verdana" w:hAnsi="Verdana" w:cs="Verdana"/>
          <w:b/>
          <w:bCs/>
          <w:spacing w:val="-9"/>
          <w:sz w:val="23"/>
          <w:szCs w:val="23"/>
          <w:lang w:val="es-ES" w:eastAsia="es-ES"/>
        </w:rPr>
        <w:t>A</w:t>
      </w:r>
      <w:r w:rsidR="005D5696">
        <w:rPr>
          <w:rStyle w:val="CharacterStyle2"/>
          <w:rFonts w:ascii="Verdana" w:hAnsi="Verdana" w:cs="Verdana"/>
          <w:b/>
          <w:bCs/>
          <w:spacing w:val="-9"/>
          <w:sz w:val="23"/>
          <w:szCs w:val="23"/>
          <w:lang w:val="es-ES" w:eastAsia="es-ES"/>
        </w:rPr>
        <w:t>.</w:t>
      </w:r>
      <w:r w:rsidR="00C55558">
        <w:rPr>
          <w:rStyle w:val="CharacterStyle2"/>
          <w:rFonts w:ascii="Verdana" w:hAnsi="Verdana" w:cs="Verdana"/>
          <w:b/>
          <w:bCs/>
          <w:spacing w:val="-9"/>
          <w:sz w:val="23"/>
          <w:szCs w:val="23"/>
          <w:lang w:val="es-ES" w:eastAsia="es-ES"/>
        </w:rPr>
        <w:t>,</w:t>
      </w:r>
      <w:r>
        <w:rPr>
          <w:rStyle w:val="CharacterStyle2"/>
          <w:rFonts w:ascii="Verdana" w:hAnsi="Verdana" w:cs="Verdana"/>
          <w:b/>
          <w:bCs/>
          <w:spacing w:val="-9"/>
          <w:sz w:val="23"/>
          <w:szCs w:val="23"/>
          <w:lang w:val="es-ES" w:eastAsia="es-ES"/>
        </w:rPr>
        <w:t xml:space="preserve"> en su </w:t>
      </w:r>
      <w:r>
        <w:rPr>
          <w:rStyle w:val="CharacterStyle2"/>
          <w:rFonts w:ascii="Verdana" w:hAnsi="Verdana" w:cs="Verdana"/>
          <w:b/>
          <w:bCs/>
          <w:spacing w:val="19"/>
          <w:sz w:val="23"/>
          <w:szCs w:val="23"/>
          <w:lang w:val="es-ES" w:eastAsia="es-ES"/>
        </w:rPr>
        <w:t xml:space="preserve">condición de Director Ejecutivo del Consejo de Transporte </w:t>
      </w:r>
      <w:r>
        <w:rPr>
          <w:rStyle w:val="CharacterStyle2"/>
          <w:rFonts w:ascii="Verdana" w:hAnsi="Verdana" w:cs="Verdana"/>
          <w:b/>
          <w:bCs/>
          <w:spacing w:val="6"/>
          <w:sz w:val="23"/>
          <w:szCs w:val="23"/>
          <w:lang w:val="es-ES" w:eastAsia="es-ES"/>
        </w:rPr>
        <w:t>Público. NOTIFIQUESE.-</w:t>
      </w:r>
    </w:p>
    <w:p w:rsidR="00C55558" w:rsidRPr="00C55558" w:rsidRDefault="00C55558" w:rsidP="00C55558">
      <w:pPr>
        <w:pStyle w:val="Style10"/>
        <w:kinsoku w:val="0"/>
        <w:autoSpaceDE/>
        <w:spacing w:line="204" w:lineRule="auto"/>
        <w:ind w:right="72"/>
        <w:jc w:val="center"/>
        <w:rPr>
          <w:rFonts w:ascii="Verdana" w:hAnsi="Verdana"/>
          <w:spacing w:val="4"/>
          <w:lang w:val="es-ES" w:eastAsia="es-ES"/>
        </w:rPr>
      </w:pPr>
      <w:r w:rsidRPr="00C55558">
        <w:rPr>
          <w:rFonts w:ascii="Verdana" w:hAnsi="Verdana"/>
          <w:spacing w:val="4"/>
          <w:lang w:val="es-ES" w:eastAsia="es-ES"/>
        </w:rPr>
        <w:t>Lic. Carlos Miguel Portuguez Méndez</w:t>
      </w:r>
    </w:p>
    <w:p w:rsidR="00C55558" w:rsidRPr="00C55558" w:rsidRDefault="00C55558" w:rsidP="00C55558">
      <w:pPr>
        <w:pStyle w:val="Style10"/>
        <w:kinsoku w:val="0"/>
        <w:autoSpaceDE/>
        <w:spacing w:line="204" w:lineRule="auto"/>
        <w:ind w:right="72"/>
        <w:jc w:val="center"/>
        <w:rPr>
          <w:rFonts w:ascii="Verdana" w:hAnsi="Verdana"/>
          <w:b/>
          <w:spacing w:val="4"/>
          <w:lang w:val="es-ES" w:eastAsia="es-ES"/>
        </w:rPr>
      </w:pPr>
      <w:r w:rsidRPr="00C55558">
        <w:rPr>
          <w:rFonts w:ascii="Verdana" w:hAnsi="Verdana"/>
          <w:b/>
          <w:spacing w:val="4"/>
          <w:lang w:val="es-ES" w:eastAsia="es-ES"/>
        </w:rPr>
        <w:t>Presidente</w:t>
      </w:r>
    </w:p>
    <w:p w:rsidR="00C55558" w:rsidRPr="00C55558" w:rsidRDefault="00C55558" w:rsidP="00C55558">
      <w:pPr>
        <w:pStyle w:val="Style10"/>
        <w:kinsoku w:val="0"/>
        <w:autoSpaceDE/>
        <w:spacing w:line="204" w:lineRule="auto"/>
        <w:ind w:right="72"/>
        <w:jc w:val="center"/>
        <w:rPr>
          <w:rFonts w:ascii="Verdana" w:hAnsi="Verdana"/>
          <w:spacing w:val="4"/>
          <w:lang w:val="es-ES" w:eastAsia="es-ES"/>
        </w:rPr>
      </w:pPr>
    </w:p>
    <w:p w:rsidR="00C55558" w:rsidRPr="00C55558" w:rsidRDefault="00C55558" w:rsidP="00C55558">
      <w:pPr>
        <w:pStyle w:val="Style10"/>
        <w:kinsoku w:val="0"/>
        <w:autoSpaceDE/>
        <w:spacing w:line="204" w:lineRule="auto"/>
        <w:ind w:right="72"/>
        <w:jc w:val="center"/>
        <w:rPr>
          <w:rFonts w:ascii="Verdana" w:hAnsi="Verdana"/>
          <w:spacing w:val="4"/>
          <w:lang w:val="es-ES" w:eastAsia="es-ES"/>
        </w:rPr>
      </w:pPr>
    </w:p>
    <w:p w:rsidR="00C55558" w:rsidRPr="00C55558" w:rsidRDefault="00C55558" w:rsidP="00C55558">
      <w:pPr>
        <w:pStyle w:val="Style10"/>
        <w:kinsoku w:val="0"/>
        <w:autoSpaceDE/>
        <w:spacing w:line="204" w:lineRule="auto"/>
        <w:ind w:right="72"/>
        <w:jc w:val="center"/>
        <w:rPr>
          <w:rFonts w:ascii="Verdana" w:hAnsi="Verdana"/>
          <w:spacing w:val="4"/>
          <w:lang w:val="es-ES" w:eastAsia="es-ES"/>
        </w:rPr>
      </w:pPr>
    </w:p>
    <w:p w:rsidR="00C55558" w:rsidRPr="00C55558" w:rsidRDefault="00C55558" w:rsidP="00C55558">
      <w:pPr>
        <w:pStyle w:val="Style10"/>
        <w:kinsoku w:val="0"/>
        <w:autoSpaceDE/>
        <w:spacing w:line="204" w:lineRule="auto"/>
        <w:ind w:right="72"/>
        <w:jc w:val="center"/>
        <w:rPr>
          <w:rFonts w:ascii="Verdana" w:hAnsi="Verdana"/>
          <w:spacing w:val="4"/>
          <w:lang w:val="es-ES" w:eastAsia="es-ES"/>
        </w:rPr>
      </w:pPr>
      <w:r w:rsidRPr="00C55558">
        <w:rPr>
          <w:rFonts w:ascii="Verdana" w:hAnsi="Verdana"/>
          <w:spacing w:val="4"/>
          <w:lang w:val="es-ES" w:eastAsia="es-ES"/>
        </w:rPr>
        <w:t>Licda. Marta Luz Pérez Peláe</w:t>
      </w:r>
      <w:r>
        <w:rPr>
          <w:rFonts w:ascii="Verdana" w:hAnsi="Verdana"/>
          <w:spacing w:val="4"/>
          <w:lang w:val="es-ES" w:eastAsia="es-ES"/>
        </w:rPr>
        <w:t xml:space="preserve">z      </w:t>
      </w:r>
      <w:r w:rsidRPr="00C55558">
        <w:rPr>
          <w:rFonts w:ascii="Verdana" w:hAnsi="Verdana"/>
          <w:spacing w:val="4"/>
          <w:lang w:val="es-ES" w:eastAsia="es-ES"/>
        </w:rPr>
        <w:t xml:space="preserve">             Lic. Mario Quesada Aguirre</w:t>
      </w:r>
    </w:p>
    <w:p w:rsidR="00C55558" w:rsidRPr="00C55558" w:rsidRDefault="00C55558" w:rsidP="00C55558">
      <w:pPr>
        <w:pStyle w:val="Style10"/>
        <w:kinsoku w:val="0"/>
        <w:autoSpaceDE/>
        <w:spacing w:line="204" w:lineRule="auto"/>
        <w:ind w:right="72"/>
        <w:jc w:val="center"/>
        <w:rPr>
          <w:rFonts w:ascii="Verdana" w:hAnsi="Verdana"/>
          <w:b/>
          <w:spacing w:val="4"/>
          <w:lang w:val="es-ES" w:eastAsia="es-ES"/>
        </w:rPr>
      </w:pPr>
      <w:r>
        <w:rPr>
          <w:rFonts w:ascii="Verdana" w:hAnsi="Verdana"/>
          <w:b/>
          <w:spacing w:val="4"/>
          <w:lang w:val="es-ES" w:eastAsia="es-ES"/>
        </w:rPr>
        <w:t xml:space="preserve">Juez    </w:t>
      </w:r>
      <w:r w:rsidRPr="00C55558">
        <w:rPr>
          <w:rFonts w:ascii="Verdana" w:hAnsi="Verdana"/>
          <w:b/>
          <w:spacing w:val="4"/>
          <w:lang w:val="es-ES" w:eastAsia="es-ES"/>
        </w:rPr>
        <w:t xml:space="preserve">                                                    </w:t>
      </w:r>
      <w:proofErr w:type="spellStart"/>
      <w:r w:rsidRPr="00C55558">
        <w:rPr>
          <w:rFonts w:ascii="Verdana" w:hAnsi="Verdana"/>
          <w:b/>
          <w:spacing w:val="4"/>
          <w:lang w:val="es-ES" w:eastAsia="es-ES"/>
        </w:rPr>
        <w:t>Juez</w:t>
      </w:r>
      <w:proofErr w:type="spellEnd"/>
    </w:p>
    <w:p w:rsidR="00C55558" w:rsidRPr="00C55558" w:rsidRDefault="00C55558" w:rsidP="00C55558">
      <w:pPr>
        <w:pStyle w:val="Style10"/>
        <w:kinsoku w:val="0"/>
        <w:autoSpaceDE/>
        <w:spacing w:line="204" w:lineRule="auto"/>
        <w:ind w:right="72"/>
        <w:jc w:val="right"/>
        <w:rPr>
          <w:rFonts w:ascii="Verdana" w:hAnsi="Verdana"/>
          <w:spacing w:val="4"/>
          <w:lang w:val="es-ES" w:eastAsia="es-ES"/>
        </w:rPr>
      </w:pPr>
    </w:p>
    <w:p w:rsidR="00C55558" w:rsidRPr="00C55558" w:rsidRDefault="00C55558" w:rsidP="00C55558">
      <w:pPr>
        <w:spacing w:after="3996"/>
        <w:ind w:left="432" w:right="232"/>
        <w:rPr>
          <w:rFonts w:ascii="Verdana" w:hAnsi="Verdana"/>
          <w:lang w:val="es-CR"/>
        </w:rPr>
      </w:pPr>
    </w:p>
    <w:sectPr w:rsidR="00C55558" w:rsidRPr="00C55558">
      <w:pgSz w:w="12120" w:h="15840"/>
      <w:pgMar w:top="1979" w:right="1260" w:bottom="792" w:left="19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/>
  <w:rsids>
    <w:rsidRoot w:val="00274B14"/>
    <w:rsid w:val="00073A77"/>
    <w:rsid w:val="00274B14"/>
    <w:rsid w:val="005D5696"/>
    <w:rsid w:val="00A13649"/>
    <w:rsid w:val="00C5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paragraph" w:customStyle="1" w:styleId="Style10">
    <w:name w:val="Style 10"/>
    <w:basedOn w:val="Normal"/>
    <w:uiPriority w:val="99"/>
    <w:rsid w:val="00C55558"/>
    <w:pPr>
      <w:kinsoku/>
      <w:autoSpaceDE w:val="0"/>
      <w:autoSpaceDN w:val="0"/>
      <w:ind w:right="57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ROJAS</dc:creator>
  <cp:lastModifiedBy>brodriguez</cp:lastModifiedBy>
  <cp:revision>2</cp:revision>
  <dcterms:created xsi:type="dcterms:W3CDTF">2014-10-13T16:50:00Z</dcterms:created>
  <dcterms:modified xsi:type="dcterms:W3CDTF">2014-10-13T16:50:00Z</dcterms:modified>
</cp:coreProperties>
</file>